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posOffset>0</wp:posOffset>
            </wp:positionH>
            <wp:positionV relativeFrom="paragraph">
              <wp:posOffset>57150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 xml:space="preserve">Economat des Armées </w:t>
      </w: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 xml:space="preserve">Direction Général </w:t>
      </w: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>Direction des Achats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15404F" w:rsidRPr="0015404F" w:rsidRDefault="0015404F" w:rsidP="00154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en-AE" w:eastAsia="de-DE"/>
        </w:rPr>
      </w:pPr>
      <w:r w:rsidRPr="0015404F">
        <w:rPr>
          <w:rFonts w:ascii="Times New Roman" w:eastAsia="Times New Roman" w:hAnsi="Times New Roman" w:cs="Times New Roman"/>
          <w:b/>
          <w:bCs/>
          <w:lang w:val="en-AE" w:eastAsia="de-DE"/>
        </w:rPr>
        <w:t xml:space="preserve">Annexe </w:t>
      </w:r>
      <w:r w:rsidR="00AD2226">
        <w:rPr>
          <w:rFonts w:ascii="Times New Roman" w:eastAsia="Times New Roman" w:hAnsi="Times New Roman" w:cs="Times New Roman"/>
          <w:b/>
          <w:bCs/>
          <w:lang w:val="en-AE" w:eastAsia="de-DE"/>
        </w:rPr>
        <w:t xml:space="preserve">8 de l’acte d’engagement </w:t>
      </w:r>
      <w:r w:rsidRPr="0015404F">
        <w:rPr>
          <w:rFonts w:ascii="Times New Roman" w:eastAsia="Times New Roman" w:hAnsi="Times New Roman" w:cs="Times New Roman"/>
          <w:b/>
          <w:bCs/>
          <w:lang w:val="en-AE" w:eastAsia="de-DE"/>
        </w:rPr>
        <w:t>– Engagement Déontologie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370961" w:rsidP="00C839C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 xml:space="preserve">LOT </w:t>
      </w:r>
      <w:r w:rsidR="00C839CD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>4</w:t>
      </w:r>
      <w:r w:rsidR="00AD2226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 xml:space="preserve"> : </w:t>
      </w:r>
      <w:r w:rsidR="00AD2226" w:rsidRPr="00AD2226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>départements n°</w:t>
      </w:r>
      <w:r w:rsidR="00C839CD" w:rsidRPr="00C839CD">
        <w:rPr>
          <w:rFonts w:ascii="Times New Roman" w:hAnsi="Times New Roman" w:cs="Times New Roman"/>
          <w:b/>
        </w:rPr>
        <w:t>01, 05, 06, 26, 30, 38, 69, 73, 74, 83, 84</w:t>
      </w:r>
    </w:p>
    <w:p w:rsidR="00C839CD" w:rsidRPr="0015404F" w:rsidRDefault="00C839CD" w:rsidP="00C839CD">
      <w:pPr>
        <w:spacing w:after="0"/>
        <w:jc w:val="center"/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</w:pPr>
    </w:p>
    <w:p w:rsidR="005E5046" w:rsidRPr="0015404F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</w:pPr>
      <w:r w:rsidRPr="0015404F"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  <w:t>Engagement déontologique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présente, le titulaire reconnaît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lui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274087">
        <w:rPr>
          <w:rFonts w:ascii="Times New Roman" w:eastAsia="Times New Roman" w:hAnsi="Times New Roman" w:cs="Times New Roman"/>
          <w:bCs/>
          <w:lang w:val="en-AE" w:eastAsia="de-DE"/>
        </w:rPr>
        <w:t xml:space="preserve"> du </w:t>
      </w:r>
      <w:r w:rsidR="00D41FED">
        <w:rPr>
          <w:rFonts w:ascii="Times New Roman" w:eastAsia="Times New Roman" w:hAnsi="Times New Roman" w:cs="Times New Roman"/>
          <w:bCs/>
          <w:lang w:val="en-AE" w:eastAsia="de-DE"/>
        </w:rPr>
        <w:t>lot 4,</w:t>
      </w:r>
      <w:bookmarkStart w:id="0" w:name="_GoBack"/>
      <w:bookmarkEnd w:id="0"/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 lesquelles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 celles prévues par les lois et règlements relatifs à la protection de la main d’oeuvre et aux conditions de travail du pays où cette main d’oeuvre est employée.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neuf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fondamentales sont: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liberté syndicale et la protection du droit syndical (C87, 1948);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d’organisation et de négociation collective (C98, 1949);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l’égalité de rémunération (C100, 1951);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l’abolition du travail forcé (C105, 1957);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concernant la discrimination (emploi et profession, C111, 1958);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1973);</w:t>
      </w:r>
    </w:p>
    <w:p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 se réserve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peut demander à l’EdA, du fait de conditions particulières d’éxécution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transmettre, avec son avis, à l’autorité compétente, les demandes de dérogations prévues par les lois et réglements mentionnés dans le présent engagement déontologique. 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seul et unique 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p w:rsidR="00186CEF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A :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Le :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Identité et fonction du signataire :</w:t>
      </w:r>
    </w:p>
    <w:p w:rsidR="00FC45C9" w:rsidRPr="0015404F" w:rsidRDefault="0015404F" w:rsidP="001540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Signature :</w:t>
      </w:r>
    </w:p>
    <w:sectPr w:rsidR="00FC45C9" w:rsidRPr="0015404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226" w:rsidRDefault="00AD2226" w:rsidP="00AD2226">
      <w:pPr>
        <w:spacing w:after="0" w:line="240" w:lineRule="auto"/>
      </w:pPr>
      <w:r>
        <w:separator/>
      </w:r>
    </w:p>
  </w:endnote>
  <w:endnote w:type="continuationSeparator" w:id="0">
    <w:p w:rsidR="00AD2226" w:rsidRDefault="00AD2226" w:rsidP="00AD2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226" w:rsidRDefault="00AD2226" w:rsidP="00AD2226">
      <w:pPr>
        <w:spacing w:after="0" w:line="240" w:lineRule="auto"/>
      </w:pPr>
      <w:r>
        <w:separator/>
      </w:r>
    </w:p>
  </w:footnote>
  <w:footnote w:type="continuationSeparator" w:id="0">
    <w:p w:rsidR="00AD2226" w:rsidRDefault="00AD2226" w:rsidP="00AD2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226" w:rsidRPr="00AD2226" w:rsidRDefault="00AD2226" w:rsidP="00AD2226">
    <w:pPr>
      <w:pStyle w:val="En-tte"/>
      <w:jc w:val="center"/>
      <w:rPr>
        <w:rFonts w:ascii="Times New Roman" w:eastAsia="Times New Roman" w:hAnsi="Times New Roman" w:cs="Times New Roman"/>
        <w:b/>
        <w:bCs/>
        <w:szCs w:val="24"/>
        <w:lang w:val="en-AE" w:eastAsia="de-DE"/>
      </w:rPr>
    </w:pP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Appel d’offres ouvert</w:t>
    </w:r>
  </w:p>
  <w:p w:rsidR="00AD2226" w:rsidRPr="00AD2226" w:rsidRDefault="00AD2226" w:rsidP="00AD2226">
    <w:pPr>
      <w:pStyle w:val="En-tte"/>
      <w:jc w:val="center"/>
    </w:pP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DCE n° 2025/0560/EdA-DA/Fourniture de poissons, mollusques et crustacés à l’état frais issus de la pêche ou d’élevage au profit des formations militaires stationnées en France métropolitaine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046"/>
    <w:rsid w:val="000005B9"/>
    <w:rsid w:val="00091B00"/>
    <w:rsid w:val="000D33BB"/>
    <w:rsid w:val="0015404F"/>
    <w:rsid w:val="00176461"/>
    <w:rsid w:val="00186CEF"/>
    <w:rsid w:val="001B1DC3"/>
    <w:rsid w:val="001C2E3A"/>
    <w:rsid w:val="002246B9"/>
    <w:rsid w:val="002733AF"/>
    <w:rsid w:val="00274087"/>
    <w:rsid w:val="002A4F59"/>
    <w:rsid w:val="00310239"/>
    <w:rsid w:val="00342F39"/>
    <w:rsid w:val="00370961"/>
    <w:rsid w:val="0046327B"/>
    <w:rsid w:val="00477EFA"/>
    <w:rsid w:val="004C5364"/>
    <w:rsid w:val="004F40A3"/>
    <w:rsid w:val="00524BBF"/>
    <w:rsid w:val="00562FAC"/>
    <w:rsid w:val="005A4E40"/>
    <w:rsid w:val="005B6123"/>
    <w:rsid w:val="005E5046"/>
    <w:rsid w:val="005F73E0"/>
    <w:rsid w:val="006236CC"/>
    <w:rsid w:val="00714B16"/>
    <w:rsid w:val="00715463"/>
    <w:rsid w:val="00717EF3"/>
    <w:rsid w:val="008776CE"/>
    <w:rsid w:val="008E72A8"/>
    <w:rsid w:val="0095176B"/>
    <w:rsid w:val="00973762"/>
    <w:rsid w:val="00A32CCA"/>
    <w:rsid w:val="00AA1011"/>
    <w:rsid w:val="00AB58EB"/>
    <w:rsid w:val="00AC270A"/>
    <w:rsid w:val="00AD2226"/>
    <w:rsid w:val="00AF2A32"/>
    <w:rsid w:val="00C839CD"/>
    <w:rsid w:val="00CB48F5"/>
    <w:rsid w:val="00D41FED"/>
    <w:rsid w:val="00DD569C"/>
    <w:rsid w:val="00DF557C"/>
    <w:rsid w:val="00E32285"/>
    <w:rsid w:val="00E82DF0"/>
    <w:rsid w:val="00F41818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F033A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AD2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2226"/>
  </w:style>
  <w:style w:type="paragraph" w:styleId="Pieddepage">
    <w:name w:val="footer"/>
    <w:basedOn w:val="Normal"/>
    <w:link w:val="PieddepageCar"/>
    <w:uiPriority w:val="99"/>
    <w:unhideWhenUsed/>
    <w:rsid w:val="00AD2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400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PHAM Emilie</cp:lastModifiedBy>
  <cp:revision>10</cp:revision>
  <cp:lastPrinted>2023-04-04T13:29:00Z</cp:lastPrinted>
  <dcterms:created xsi:type="dcterms:W3CDTF">2025-07-07T09:18:00Z</dcterms:created>
  <dcterms:modified xsi:type="dcterms:W3CDTF">2025-08-18T13:13:00Z</dcterms:modified>
</cp:coreProperties>
</file>